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2" w:rsidRDefault="00D96902">
      <w:pPr>
        <w:pStyle w:val="1460"/>
      </w:pPr>
      <w:bookmarkStart w:id="0" w:name="NORMACS_PAGE_1"/>
      <w:bookmarkEnd w:id="0"/>
      <w:r>
        <w:t>Приказ Министерства строительства и жилищно-коммунального хозяйства РФ от 27 февраля 2015 г. № 138/</w:t>
      </w:r>
      <w:proofErr w:type="spellStart"/>
      <w:proofErr w:type="gramStart"/>
      <w:r>
        <w:t>пр</w:t>
      </w:r>
      <w:proofErr w:type="spellEnd"/>
      <w:proofErr w:type="gramEnd"/>
    </w:p>
    <w:p w:rsidR="00D96902" w:rsidRDefault="00D96902">
      <w:pPr>
        <w:pStyle w:val="1406"/>
      </w:pPr>
      <w:r>
        <w:t>"Об утверждении Методических рекомендаций по применению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1521"</w:t>
      </w:r>
    </w:p>
    <w:p w:rsidR="00D96902" w:rsidRDefault="00D96902">
      <w:r>
        <w:t xml:space="preserve">В соответствии с пунктом 3 постановления Правительства Российской Федерации от 26 декабря 2014 г. № </w:t>
      </w:r>
      <w:r w:rsidRPr="00F65241">
        <w:t>1521</w:t>
      </w:r>
      <w:r>
        <w:t xml:space="preserve">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приказываю:</w:t>
      </w:r>
    </w:p>
    <w:p w:rsidR="00D96902" w:rsidRDefault="00D96902">
      <w:r>
        <w:t xml:space="preserve">1. </w:t>
      </w:r>
      <w:proofErr w:type="gramStart"/>
      <w:r>
        <w:t>Утвердить Методические рекомендации по применению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(далее - Методические рекомендации), согласно приложению к настоящему приказу.</w:t>
      </w:r>
      <w:proofErr w:type="gramEnd"/>
    </w:p>
    <w:p w:rsidR="00D96902" w:rsidRDefault="00D96902">
      <w:r>
        <w:t xml:space="preserve">2. Федеральному автономному учреждению "Федеральный центр нормирования, стандартизации и технической оценки соответствия в строительстве" (Д.В. Михееву) ежегодно не позднее 25 числа последнего </w:t>
      </w:r>
      <w:bookmarkStart w:id="1" w:name="NORMACS_PAGE_2"/>
      <w:bookmarkEnd w:id="1"/>
      <w:r>
        <w:t>месяца года представлять в Минстрой России соответствующие предложения по внесению изменений в Методические рекомендации.</w:t>
      </w:r>
    </w:p>
    <w:p w:rsidR="00D96902" w:rsidRDefault="00D9690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</w:t>
      </w:r>
      <w:proofErr w:type="spellStart"/>
      <w:r>
        <w:t>Рейльяна</w:t>
      </w:r>
      <w:proofErr w:type="spellEnd"/>
      <w:r>
        <w:t>.</w:t>
      </w:r>
    </w:p>
    <w:p w:rsidR="00D96902" w:rsidRDefault="00D9690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057"/>
      </w:tblGrid>
      <w:tr w:rsidR="00D96902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02" w:rsidRDefault="00D9690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>
              <w:t>И.о</w:t>
            </w:r>
            <w:proofErr w:type="spellEnd"/>
            <w:r>
              <w:t>. Министра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02" w:rsidRDefault="00D9690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Е.О. </w:t>
            </w:r>
            <w:proofErr w:type="spellStart"/>
            <w:r>
              <w:t>Сиэрра</w:t>
            </w:r>
            <w:proofErr w:type="spellEnd"/>
          </w:p>
        </w:tc>
      </w:tr>
    </w:tbl>
    <w:p w:rsidR="00D96902" w:rsidRDefault="00D96902">
      <w:pPr>
        <w:rPr>
          <w:rFonts w:eastAsiaTheme="minorEastAsia"/>
          <w:color w:val="000000"/>
        </w:rPr>
      </w:pPr>
      <w:r>
        <w:t> </w:t>
      </w:r>
    </w:p>
    <w:p w:rsidR="00D96902" w:rsidRDefault="00D96902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NORMACS_PAGE_3"/>
      <w:bookmarkEnd w:id="2"/>
      <w:r>
        <w:br w:type="page"/>
      </w:r>
    </w:p>
    <w:p w:rsidR="00D96902" w:rsidRDefault="00D96902">
      <w:pPr>
        <w:pStyle w:val="1460"/>
      </w:pPr>
      <w:r>
        <w:lastRenderedPageBreak/>
        <w:t xml:space="preserve">Методические рекомендации по применению перечня национальных стандартов и сводов правил (частей таких стандартов и сводов правил),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</w:t>
      </w:r>
    </w:p>
    <w:p w:rsidR="00D96902" w:rsidRDefault="00D96902">
      <w:pPr>
        <w:pStyle w:val="1206"/>
      </w:pPr>
      <w:r>
        <w:t xml:space="preserve">(утв. приказом Министерства строительства и жилищно-коммунального хозяйства РФ </w:t>
      </w:r>
      <w:r>
        <w:br/>
        <w:t>от 27 февраля 2015 г. № 138/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D96902" w:rsidRDefault="00D96902">
      <w:r>
        <w:t xml:space="preserve">1. </w:t>
      </w:r>
      <w:proofErr w:type="gramStart"/>
      <w:r>
        <w:t xml:space="preserve">Настоящие Методические рекомендации подготовлены в соответствии с пунктом 3 постановления Правительства Российской Федерации от 26 декабря 2014 г. № </w:t>
      </w:r>
      <w:r w:rsidRPr="00F65241">
        <w:t>1521</w:t>
      </w:r>
      <w:r>
        <w:t xml:space="preserve">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(далее - постановление, перечень) и определяют правила применения перечня</w:t>
      </w:r>
      <w:proofErr w:type="gramEnd"/>
      <w:r>
        <w:t xml:space="preserve"> при выполнении инженерных изысканий, осуществлении архитектурно-строительного проектирования, строительстве, проведении экспертизы инженерных изысканий, проектной документации, осуществлении государственного строительного надзора, а также надзора на стадии эксплуатации объектов капитального строительства.</w:t>
      </w:r>
    </w:p>
    <w:p w:rsidR="00D96902" w:rsidRDefault="00D96902">
      <w:r>
        <w:t>2. Положения, приведенные в настоящих Методических рекомендациях, рекомендуются для использования организациями и предприятиями, независимо от ведомственной принадлежности, форм собственности и источников финансирования строительства.</w:t>
      </w:r>
    </w:p>
    <w:p w:rsidR="00D96902" w:rsidRDefault="00D96902">
      <w:r>
        <w:t>3. Постановлением определен перечень документов в области стандартизации (их частей), требования которых должны соблюдаться при выполнении инженерных изысканий, осуществлении архитектурно-строительного проектирования, строительстве, эксплуатации и сносе объектов капитального строительства.</w:t>
      </w:r>
    </w:p>
    <w:p w:rsidR="00D96902" w:rsidRDefault="00D96902">
      <w:r>
        <w:t>4. Положения документов в области стандартизации, включенные в перечень, не являются обязательными применительно к следующим зданиям и сооружениям вплоть до их реконструкции или капитального ремонта:</w:t>
      </w:r>
    </w:p>
    <w:p w:rsidR="00D96902" w:rsidRDefault="00D96902">
      <w:r>
        <w:t>к зданиям и сооружениям, введенным в эксплуатацию до 1 июля 2015 года;</w:t>
      </w:r>
    </w:p>
    <w:p w:rsidR="00D96902" w:rsidRDefault="00D96902">
      <w:r>
        <w:t>к зданиям и сооружениям, строительство, реконструкция и капитальный ремонт которых осуществляются в соответствии с проектной документацией,</w:t>
      </w:r>
      <w:bookmarkStart w:id="3" w:name="NORMACS_PAGE_4"/>
      <w:bookmarkEnd w:id="3"/>
      <w:r>
        <w:t xml:space="preserve"> утвержденной или представленной на экспертизу до 1 июля 2015 года;</w:t>
      </w:r>
    </w:p>
    <w:p w:rsidR="00D96902" w:rsidRDefault="00D96902">
      <w:r>
        <w:t xml:space="preserve">к зданиям и сооружениям, в отношении проектной документации которых не проводится </w:t>
      </w:r>
      <w:proofErr w:type="gramStart"/>
      <w:r>
        <w:t>экспертиза</w:t>
      </w:r>
      <w:proofErr w:type="gramEnd"/>
      <w:r>
        <w:t xml:space="preserve"> и заявление о выдаче разрешения на строительство которых подано до 1 июля 2015 года.</w:t>
      </w:r>
    </w:p>
    <w:p w:rsidR="00D96902" w:rsidRDefault="00D96902">
      <w:r>
        <w:t xml:space="preserve">5. В случае если положениями документов в области стандартизации (их частями), включенными в перечень, устанавливается требование прохождения при выполнении инженерных изысканий, осуществлении архитектурно-строительного проектирования, строительстве, эксплуатации, сносе объекта капитального строительства, административных процедур, не предусмотренных </w:t>
      </w:r>
      <w:r>
        <w:lastRenderedPageBreak/>
        <w:t>нормативными правовыми актами Российской Федерации, такое требование документа в области стандартизации (его части) не применяется.</w:t>
      </w:r>
    </w:p>
    <w:p w:rsidR="00D96902" w:rsidRDefault="00D96902">
      <w:proofErr w:type="gramStart"/>
      <w:r>
        <w:t>Под административной процедурой следует понимать способ взаимодействия между застройщиком (техническим заказчиком) или уполномоченным им лицом (исполнителем конкретного вида работ) и органами государственной власти, органами местного самоуправления, иными осуществляющими функции указанных лиц органами или организациями, организациями, участвующими в предоставлении государственных или муниципальных услуг, организациями коммунального комплекса, электросетевыми и газоснабжающими компаниями в целях совершения юридически значимых действий, в том числе связанных с</w:t>
      </w:r>
      <w:proofErr w:type="gramEnd"/>
      <w:r>
        <w:t xml:space="preserve"> предоставлением застройщиком (техническим заказчиком) или уполномоченным им лицом документов и (или) внесением платы.</w:t>
      </w:r>
    </w:p>
    <w:p w:rsidR="00D96902" w:rsidRDefault="00D96902">
      <w:r>
        <w:t xml:space="preserve">При выполнении административных процедур в сфере жилищного строительства следует руководствоваться постановлением Правительства Российской Федерации от 30 апреля 2014 г. № </w:t>
      </w:r>
      <w:r w:rsidRPr="00F65241">
        <w:t>403</w:t>
      </w:r>
      <w:r>
        <w:t xml:space="preserve"> "Об исчерпывающем перечне процедур в сфере жилищного строительства".</w:t>
      </w:r>
    </w:p>
    <w:p w:rsidR="00D96902" w:rsidRDefault="00D96902">
      <w:r>
        <w:t xml:space="preserve">6. </w:t>
      </w:r>
      <w:proofErr w:type="gramStart"/>
      <w:r>
        <w:t>Изменения, вносимые во включенные в перечень документы в области стандартизации (их части) в процессе их актуализации, в соответствии с законодательством Российской Федерации о техническом регулировании, применяются на добровольной основе.</w:t>
      </w:r>
      <w:proofErr w:type="gramEnd"/>
    </w:p>
    <w:p w:rsidR="00D96902" w:rsidRDefault="00D96902">
      <w:r>
        <w:t>Такие изменения будут применяться на обязательной основе только после внесения изменений в перечень.</w:t>
      </w:r>
    </w:p>
    <w:p w:rsidR="00D96902" w:rsidRDefault="00D96902">
      <w:r>
        <w:t>При внесении изменений в перечень наряду с основным наименованием документа указывается его редакция.</w:t>
      </w:r>
    </w:p>
    <w:p w:rsidR="00D96902" w:rsidRDefault="00D96902">
      <w:r>
        <w:t xml:space="preserve">7. </w:t>
      </w:r>
      <w:proofErr w:type="gramStart"/>
      <w:r>
        <w:t>В случае если требование, содержащееся во включенном в перечень документе в области стандартизации (его части), сформулировано в качестве рекомендательного (содержится указание на необходимость соблюдения требования с формулировками "как правило", "при соответствующем обосновании", "в случае особой необходимости", "преимущественно", "рекомендуется", "предпочтительно", "могут", "в необходимых случаях" и тому подобными), решение о выполнении такого требования принимается застройщиком (техническим заказчиком) или уполномоченным им лицом (исполнителем</w:t>
      </w:r>
      <w:proofErr w:type="gramEnd"/>
      <w:r>
        <w:t xml:space="preserve"> конкретного вида работ).</w:t>
      </w:r>
      <w:bookmarkStart w:id="4" w:name="NORMACS_PAGE_5"/>
      <w:bookmarkEnd w:id="4"/>
    </w:p>
    <w:p w:rsidR="00D96902" w:rsidRDefault="00D96902">
      <w:r>
        <w:t>8. Документы в области стандартизации (их части), на которые имеются ссылки в сводах правил и национальных стандартах (их частях), включенных в перечень, применяются на обязательной основе только в случае, если эти документы (их части) содержатся в перечне.</w:t>
      </w:r>
    </w:p>
    <w:p w:rsidR="00D96902" w:rsidRDefault="00D96902">
      <w:r>
        <w:t xml:space="preserve">9. </w:t>
      </w:r>
      <w:proofErr w:type="gramStart"/>
      <w:r>
        <w:t>Со дня вступления в силу перечня не включенные в перечень документы в области стандартизации, содержащие требования к зданиям и сооружениям (входящим в их состав сетям инженерно-технического обеспечения и системам инженерно-технического обеспечения), а также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применяются на добровольной основе.</w:t>
      </w:r>
      <w:proofErr w:type="gramEnd"/>
    </w:p>
    <w:p w:rsidR="00D96902" w:rsidRPr="00D96902" w:rsidRDefault="00D96902" w:rsidP="00D96902">
      <w:r>
        <w:t>10. Приложения к документам в области стандартизации, включенным в перечень, применяются на обязательной основе только в случае, если указанные приложения включены в перечень.</w:t>
      </w:r>
      <w:bookmarkStart w:id="5" w:name="_GoBack"/>
      <w:bookmarkEnd w:id="5"/>
    </w:p>
    <w:sectPr w:rsidR="00D96902" w:rsidRPr="00D96902" w:rsidSect="00D9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2" w:rsidRDefault="00D96902" w:rsidP="00D96902">
      <w:pPr>
        <w:spacing w:after="0" w:line="240" w:lineRule="auto"/>
      </w:pPr>
      <w:r>
        <w:separator/>
      </w:r>
    </w:p>
  </w:endnote>
  <w:endnote w:type="continuationSeparator" w:id="0">
    <w:p w:rsidR="00D96902" w:rsidRDefault="00D96902" w:rsidP="00D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5" w:rsidRDefault="002848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5" w:rsidRDefault="002848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5" w:rsidRDefault="002848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2" w:rsidRDefault="00D96902" w:rsidP="00D96902">
      <w:pPr>
        <w:spacing w:after="0" w:line="240" w:lineRule="auto"/>
      </w:pPr>
      <w:r>
        <w:separator/>
      </w:r>
    </w:p>
  </w:footnote>
  <w:footnote w:type="continuationSeparator" w:id="0">
    <w:p w:rsidR="00D96902" w:rsidRDefault="00D96902" w:rsidP="00D9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2" w:rsidRPr="00284885" w:rsidRDefault="00D96902" w:rsidP="002848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5" w:rsidRDefault="002848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5" w:rsidRDefault="00284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189T"/>
    <w:docVar w:name="NcsDomain" w:val="normacs.ru"/>
    <w:docVar w:name="NcsExportTime" w:val="2015-04-23 13:04:40"/>
    <w:docVar w:name="NcsSerial" w:val="NRMS10-01498"/>
    <w:docVar w:name="NcsUrl" w:val="normacs://normacs.ru/1189T?dob=42064.000023&amp;dol=42117.544884"/>
  </w:docVars>
  <w:rsids>
    <w:rsidRoot w:val="00D96902"/>
    <w:rsid w:val="00284885"/>
    <w:rsid w:val="00BA1508"/>
    <w:rsid w:val="00CB59EA"/>
    <w:rsid w:val="00D96902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902"/>
    <w:rPr>
      <w:color w:val="0000FF"/>
      <w:u w:val="single"/>
    </w:rPr>
  </w:style>
  <w:style w:type="paragraph" w:customStyle="1" w:styleId="1406">
    <w:name w:val="1406"/>
    <w:basedOn w:val="a"/>
    <w:rsid w:val="00D9690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D9690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D9690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902"/>
  </w:style>
  <w:style w:type="paragraph" w:styleId="a6">
    <w:name w:val="footer"/>
    <w:basedOn w:val="a"/>
    <w:link w:val="a7"/>
    <w:uiPriority w:val="99"/>
    <w:unhideWhenUsed/>
    <w:rsid w:val="00D9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902"/>
  </w:style>
  <w:style w:type="character" w:styleId="a8">
    <w:name w:val="page number"/>
    <w:basedOn w:val="a0"/>
    <w:uiPriority w:val="99"/>
    <w:semiHidden/>
    <w:unhideWhenUsed/>
    <w:rsid w:val="00D9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902"/>
    <w:rPr>
      <w:color w:val="0000FF"/>
      <w:u w:val="single"/>
    </w:rPr>
  </w:style>
  <w:style w:type="paragraph" w:customStyle="1" w:styleId="1406">
    <w:name w:val="1406"/>
    <w:basedOn w:val="a"/>
    <w:rsid w:val="00D9690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D9690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D9690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902"/>
  </w:style>
  <w:style w:type="paragraph" w:styleId="a6">
    <w:name w:val="footer"/>
    <w:basedOn w:val="a"/>
    <w:link w:val="a7"/>
    <w:uiPriority w:val="99"/>
    <w:unhideWhenUsed/>
    <w:rsid w:val="00D9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902"/>
  </w:style>
  <w:style w:type="character" w:styleId="a8">
    <w:name w:val="page number"/>
    <w:basedOn w:val="a0"/>
    <w:uiPriority w:val="99"/>
    <w:semiHidden/>
    <w:unhideWhenUsed/>
    <w:rsid w:val="00D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2015-04-23T10:10:00Z</dcterms:created>
  <dcterms:modified xsi:type="dcterms:W3CDTF">2015-04-23T10:10:00Z</dcterms:modified>
</cp:coreProperties>
</file>